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9A" w:rsidRDefault="00E4139A"/>
    <w:p w:rsidR="004469FA" w:rsidRDefault="004469FA" w:rsidP="004469F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Over the past 4 years has the incumbent firm been required to make working papers available to any of the following parties or their designees? If yes, what were the reasons and outcomes?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U.S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Department of Housing and Urban Development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U.S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General Accounting Office (GAO)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Parties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designated by the federal or state governments or by the City of Pittsburgh as part of an audit quality review process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Auditors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of entities of which the City of Pittsburgh is a sub-recipient of grant funds</w:t>
      </w:r>
    </w:p>
    <w:p w:rsidR="00800DAC" w:rsidRPr="00800DAC" w:rsidRDefault="00800DAC" w:rsidP="00800DAC">
      <w:pPr>
        <w:pStyle w:val="NormalWeb"/>
        <w:shd w:val="clear" w:color="auto" w:fill="FFFFFF"/>
        <w:rPr>
          <w:rFonts w:ascii="Arial" w:hAnsi="Arial" w:cs="Arial"/>
          <w:color w:val="548DD4" w:themeColor="text2" w:themeTint="99"/>
          <w:sz w:val="19"/>
          <w:szCs w:val="19"/>
        </w:rPr>
      </w:pPr>
      <w:r w:rsidRPr="00800DAC">
        <w:rPr>
          <w:rFonts w:ascii="Arial" w:hAnsi="Arial" w:cs="Arial"/>
          <w:color w:val="548DD4" w:themeColor="text2" w:themeTint="99"/>
          <w:sz w:val="19"/>
          <w:szCs w:val="19"/>
          <w:shd w:val="clear" w:color="auto" w:fill="FFFFFF"/>
        </w:rPr>
        <w:t>The City has not asked any incumbent firms to make working papers available for any agencies or designees.</w:t>
      </w:r>
    </w:p>
    <w:p w:rsidR="004469FA" w:rsidRDefault="004469FA" w:rsidP="004469F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May we obtain copies of the following?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Full</w:t>
      </w:r>
      <w:proofErr w:type="gramEnd"/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Cost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Allocation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Plan based on fiscal year ended 12/31/14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Uniform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Guidance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Cost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Allocation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Plan based on fiscal year ended 12/31/14</w:t>
      </w:r>
    </w:p>
    <w:p w:rsidR="004469FA" w:rsidRDefault="004469FA" w:rsidP="004469F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 2" w:hAnsi="Wingdings 2" w:cs="Arial"/>
          <w:color w:val="222222"/>
          <w:sz w:val="19"/>
          <w:szCs w:val="19"/>
        </w:rPr>
        <w:t>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rFonts w:eastAsiaTheme="majorEastAsia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9"/>
          <w:szCs w:val="19"/>
        </w:rPr>
        <w:t>12</w:t>
      </w:r>
      <w:proofErr w:type="gramEnd"/>
      <w:r>
        <w:rPr>
          <w:rFonts w:ascii="Arial" w:hAnsi="Arial" w:cs="Arial"/>
          <w:color w:val="222222"/>
          <w:sz w:val="19"/>
          <w:szCs w:val="19"/>
        </w:rPr>
        <w:t>/31/14 based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Indirect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eastAsiaTheme="majorEastAsia" w:hAnsi="Arial" w:cs="Arial"/>
          <w:color w:val="222222"/>
          <w:sz w:val="19"/>
          <w:szCs w:val="19"/>
        </w:rPr>
        <w:t>Cost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Rate Proposals for the Department of City Planning and Community Development (prepared in accordance with the provisions of Uniform Guidance code)</w:t>
      </w:r>
    </w:p>
    <w:p w:rsidR="00800DAC" w:rsidRPr="00800DAC" w:rsidRDefault="00800DAC" w:rsidP="00800DAC">
      <w:pPr>
        <w:pStyle w:val="NormalWeb"/>
        <w:shd w:val="clear" w:color="auto" w:fill="FFFFFF"/>
        <w:rPr>
          <w:rFonts w:ascii="Arial" w:hAnsi="Arial" w:cs="Arial"/>
          <w:color w:val="548DD4" w:themeColor="text2" w:themeTint="99"/>
          <w:sz w:val="19"/>
          <w:szCs w:val="19"/>
          <w:shd w:val="clear" w:color="auto" w:fill="FFFFFF"/>
        </w:rPr>
      </w:pPr>
      <w:r w:rsidRPr="00800DAC">
        <w:rPr>
          <w:rFonts w:ascii="Arial" w:hAnsi="Arial" w:cs="Arial"/>
          <w:color w:val="548DD4" w:themeColor="text2" w:themeTint="99"/>
          <w:sz w:val="19"/>
          <w:szCs w:val="19"/>
          <w:shd w:val="clear" w:color="auto" w:fill="FFFFFF"/>
        </w:rPr>
        <w:t>The 2014 plans are not completed at this date.  The 2013 plans are available upon request.</w:t>
      </w:r>
    </w:p>
    <w:p w:rsidR="00FA0864" w:rsidRPr="00FA0864" w:rsidRDefault="00FA0864" w:rsidP="00FA0864">
      <w:pPr>
        <w:spacing w:after="200" w:line="276" w:lineRule="auto"/>
        <w:jc w:val="both"/>
        <w:rPr>
          <w:rFonts w:cs="Times New Roman"/>
          <w:szCs w:val="22"/>
        </w:rPr>
      </w:pPr>
    </w:p>
    <w:p w:rsidR="00FA0864" w:rsidRPr="00E4139A" w:rsidRDefault="00FA0864">
      <w:bookmarkStart w:id="0" w:name="_GoBack"/>
      <w:bookmarkEnd w:id="0"/>
    </w:p>
    <w:sectPr w:rsidR="00FA0864" w:rsidRPr="00E4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A"/>
    <w:rsid w:val="00265203"/>
    <w:rsid w:val="004469FA"/>
    <w:rsid w:val="004B37CA"/>
    <w:rsid w:val="00703F26"/>
    <w:rsid w:val="0079267F"/>
    <w:rsid w:val="007F18F4"/>
    <w:rsid w:val="00800DAC"/>
    <w:rsid w:val="00874BE2"/>
    <w:rsid w:val="0096754C"/>
    <w:rsid w:val="00C56975"/>
    <w:rsid w:val="00D14687"/>
    <w:rsid w:val="00DD106B"/>
    <w:rsid w:val="00E4139A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64"/>
  </w:style>
  <w:style w:type="paragraph" w:styleId="Heading1">
    <w:name w:val="heading 1"/>
    <w:basedOn w:val="Normal"/>
    <w:next w:val="Normal"/>
    <w:link w:val="Heading1Char"/>
    <w:uiPriority w:val="9"/>
    <w:qFormat/>
    <w:rsid w:val="007926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6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6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6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6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6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67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67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6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67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67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67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67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67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67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6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6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6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67F"/>
    <w:rPr>
      <w:b/>
      <w:bCs/>
    </w:rPr>
  </w:style>
  <w:style w:type="character" w:styleId="Emphasis">
    <w:name w:val="Emphasis"/>
    <w:basedOn w:val="DefaultParagraphFont"/>
    <w:uiPriority w:val="20"/>
    <w:qFormat/>
    <w:rsid w:val="007926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9267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9267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926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67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9267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67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67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926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6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6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6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6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6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1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69F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4469FA"/>
  </w:style>
  <w:style w:type="character" w:customStyle="1" w:styleId="il">
    <w:name w:val="il"/>
    <w:basedOn w:val="DefaultParagraphFont"/>
    <w:rsid w:val="0044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64"/>
  </w:style>
  <w:style w:type="paragraph" w:styleId="Heading1">
    <w:name w:val="heading 1"/>
    <w:basedOn w:val="Normal"/>
    <w:next w:val="Normal"/>
    <w:link w:val="Heading1Char"/>
    <w:uiPriority w:val="9"/>
    <w:qFormat/>
    <w:rsid w:val="007926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6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6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6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6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6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67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67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6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67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67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67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67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67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67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6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6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6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67F"/>
    <w:rPr>
      <w:b/>
      <w:bCs/>
    </w:rPr>
  </w:style>
  <w:style w:type="character" w:styleId="Emphasis">
    <w:name w:val="Emphasis"/>
    <w:basedOn w:val="DefaultParagraphFont"/>
    <w:uiPriority w:val="20"/>
    <w:qFormat/>
    <w:rsid w:val="007926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9267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9267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926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67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9267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67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67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926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6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6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6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6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6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1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69F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4469FA"/>
  </w:style>
  <w:style w:type="character" w:customStyle="1" w:styleId="il">
    <w:name w:val="il"/>
    <w:basedOn w:val="DefaultParagraphFont"/>
    <w:rsid w:val="0044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Dorman, Stephanie</dc:creator>
  <cp:lastModifiedBy>Dorman, Stephanie</cp:lastModifiedBy>
  <cp:revision>2</cp:revision>
  <cp:lastPrinted>2015-09-14T18:31:00Z</cp:lastPrinted>
  <dcterms:created xsi:type="dcterms:W3CDTF">2016-01-19T18:11:00Z</dcterms:created>
  <dcterms:modified xsi:type="dcterms:W3CDTF">2016-01-20T13:00:00Z</dcterms:modified>
</cp:coreProperties>
</file>